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19F" w:rsidRPr="0066519F" w:rsidRDefault="0066519F" w:rsidP="0066519F">
      <w:pPr>
        <w:autoSpaceDE w:val="0"/>
        <w:spacing w:line="560" w:lineRule="exact"/>
        <w:rPr>
          <w:rFonts w:ascii="黑体" w:eastAsia="黑体" w:hAnsi="黑体" w:cs="宋体"/>
          <w:kern w:val="0"/>
          <w:sz w:val="32"/>
          <w:szCs w:val="32"/>
        </w:rPr>
      </w:pPr>
      <w:bookmarkStart w:id="0" w:name="_Toc200983883"/>
      <w:bookmarkStart w:id="1" w:name="OLE_LINK1"/>
      <w:bookmarkStart w:id="2" w:name="OLE_LINK2"/>
      <w:r w:rsidRPr="0066519F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2F39EC">
        <w:rPr>
          <w:rFonts w:ascii="黑体" w:eastAsia="黑体" w:hAnsi="黑体" w:cs="宋体"/>
          <w:kern w:val="0"/>
          <w:sz w:val="32"/>
          <w:szCs w:val="32"/>
        </w:rPr>
        <w:t>2</w:t>
      </w:r>
    </w:p>
    <w:p w:rsidR="0066519F" w:rsidRPr="0066519F" w:rsidRDefault="002F39EC" w:rsidP="0066519F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竞赛</w:t>
      </w:r>
      <w:r w:rsidR="00A26A46">
        <w:rPr>
          <w:rFonts w:ascii="方正小标宋简体" w:eastAsia="方正小标宋简体" w:hAnsi="方正小标宋简体" w:cs="方正小标宋简体" w:hint="eastAsia"/>
          <w:sz w:val="44"/>
          <w:szCs w:val="44"/>
        </w:rPr>
        <w:t>评分标准</w:t>
      </w:r>
      <w:bookmarkEnd w:id="0"/>
    </w:p>
    <w:p w:rsidR="0066519F" w:rsidRPr="00811594" w:rsidRDefault="0066519F" w:rsidP="0066519F">
      <w:pPr>
        <w:rPr>
          <w:rFonts w:ascii="仿宋" w:eastAsia="仿宋" w:hAnsi="仿宋"/>
          <w:sz w:val="24"/>
          <w:szCs w:val="24"/>
        </w:rPr>
      </w:pPr>
    </w:p>
    <w:p w:rsidR="0066519F" w:rsidRPr="0066519F" w:rsidRDefault="0066519F" w:rsidP="0066519F">
      <w:pPr>
        <w:autoSpaceDE w:val="0"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</w:rPr>
      </w:pPr>
      <w:r w:rsidRPr="0066519F">
        <w:rPr>
          <w:rFonts w:ascii="黑体" w:eastAsia="黑体" w:hAnsi="黑体" w:cs="宋体" w:hint="eastAsia"/>
          <w:bCs/>
          <w:kern w:val="0"/>
          <w:sz w:val="32"/>
          <w:szCs w:val="32"/>
        </w:rPr>
        <w:t>一、赛道</w:t>
      </w:r>
      <w:r w:rsidRPr="0066519F">
        <w:rPr>
          <w:rFonts w:ascii="黑体" w:eastAsia="黑体" w:hAnsi="黑体" w:cs="宋体"/>
          <w:bCs/>
          <w:kern w:val="0"/>
          <w:sz w:val="32"/>
          <w:szCs w:val="32"/>
        </w:rPr>
        <w:t>1</w:t>
      </w:r>
      <w:r w:rsidR="00DA334E">
        <w:rPr>
          <w:rFonts w:ascii="黑体" w:eastAsia="黑体" w:hAnsi="黑体" w:cs="宋体" w:hint="eastAsia"/>
          <w:bCs/>
          <w:kern w:val="0"/>
          <w:sz w:val="32"/>
          <w:szCs w:val="32"/>
        </w:rPr>
        <w:t>-</w:t>
      </w:r>
      <w:r w:rsidRPr="0066519F">
        <w:rPr>
          <w:rFonts w:ascii="黑体" w:eastAsia="黑体" w:hAnsi="黑体" w:cs="宋体" w:hint="eastAsia"/>
          <w:bCs/>
          <w:kern w:val="0"/>
          <w:sz w:val="32"/>
          <w:szCs w:val="32"/>
        </w:rPr>
        <w:t>经营创新实践赛</w:t>
      </w:r>
    </w:p>
    <w:p w:rsidR="0066519F" w:rsidRPr="0066519F" w:rsidRDefault="0066519F" w:rsidP="0087041F">
      <w:pPr>
        <w:autoSpaceDE w:val="0"/>
        <w:spacing w:line="560" w:lineRule="exact"/>
        <w:rPr>
          <w:rFonts w:ascii="仿宋_GB2312" w:eastAsia="仿宋_GB2312" w:hAnsi="Times New Roman" w:cs="宋体"/>
          <w:bCs/>
          <w:kern w:val="0"/>
          <w:sz w:val="32"/>
          <w:szCs w:val="32"/>
        </w:rPr>
      </w:pP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总成绩=企业经营创新实践报告成绩×60%+答辩成绩×40%</w:t>
      </w:r>
    </w:p>
    <w:p w:rsidR="0066519F" w:rsidRPr="004E6326" w:rsidRDefault="004E6326" w:rsidP="0066519F">
      <w:pPr>
        <w:autoSpaceDE w:val="0"/>
        <w:spacing w:line="560" w:lineRule="exact"/>
        <w:ind w:firstLineChars="200" w:firstLine="636"/>
        <w:rPr>
          <w:rFonts w:ascii="Times New Roman" w:eastAsia="楷体_GB2312" w:hAnsi="Times New Roman" w:cs="楷体_GB2312"/>
          <w:spacing w:val="-1"/>
          <w:kern w:val="0"/>
          <w:sz w:val="32"/>
          <w:szCs w:val="32"/>
          <w:shd w:val="clear" w:color="auto" w:fill="FFFFFF"/>
        </w:rPr>
      </w:pPr>
      <w:r w:rsidRPr="004E6326">
        <w:rPr>
          <w:rFonts w:ascii="Times New Roman" w:eastAsia="楷体_GB2312" w:hAnsi="Times New Roman" w:cs="楷体_GB2312" w:hint="eastAsia"/>
          <w:spacing w:val="-1"/>
          <w:kern w:val="0"/>
          <w:sz w:val="32"/>
          <w:szCs w:val="32"/>
          <w:shd w:val="clear" w:color="auto" w:fill="FFFFFF"/>
        </w:rPr>
        <w:t>（一）</w:t>
      </w:r>
      <w:r w:rsidR="0087041F" w:rsidRPr="0087041F">
        <w:rPr>
          <w:rFonts w:ascii="Times New Roman" w:eastAsia="楷体_GB2312" w:hAnsi="Times New Roman" w:cs="楷体_GB2312" w:hint="eastAsia"/>
          <w:spacing w:val="-1"/>
          <w:kern w:val="0"/>
          <w:sz w:val="32"/>
          <w:szCs w:val="32"/>
          <w:shd w:val="clear" w:color="auto" w:fill="FFFFFF"/>
        </w:rPr>
        <w:t>企业经营</w:t>
      </w:r>
      <w:r w:rsidR="0066519F" w:rsidRPr="004E6326">
        <w:rPr>
          <w:rFonts w:ascii="Times New Roman" w:eastAsia="楷体_GB2312" w:hAnsi="Times New Roman" w:cs="楷体_GB2312" w:hint="eastAsia"/>
          <w:spacing w:val="-1"/>
          <w:kern w:val="0"/>
          <w:sz w:val="32"/>
          <w:szCs w:val="32"/>
          <w:shd w:val="clear" w:color="auto" w:fill="FFFFFF"/>
        </w:rPr>
        <w:t>实践报告成绩</w:t>
      </w:r>
    </w:p>
    <w:p w:rsidR="0066519F" w:rsidRPr="0066519F" w:rsidRDefault="0066519F" w:rsidP="0066519F">
      <w:pPr>
        <w:autoSpaceDE w:val="0"/>
        <w:spacing w:line="560" w:lineRule="exact"/>
        <w:ind w:firstLineChars="200" w:firstLine="640"/>
        <w:rPr>
          <w:rFonts w:ascii="仿宋_GB2312" w:eastAsia="仿宋_GB2312" w:hAnsi="Times New Roman" w:cs="宋体"/>
          <w:bCs/>
          <w:kern w:val="0"/>
          <w:sz w:val="32"/>
          <w:szCs w:val="32"/>
        </w:rPr>
      </w:pP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参赛团队提交的匿名处理的企业经营创新实践报告，由专家独立评分</w:t>
      </w:r>
      <w:r w:rsidR="0087041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（评分标准见表1）</w:t>
      </w: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，取均值。</w:t>
      </w:r>
    </w:p>
    <w:p w:rsidR="0066519F" w:rsidRPr="00355258" w:rsidRDefault="0066519F" w:rsidP="00FB5422">
      <w:pPr>
        <w:pStyle w:val="a3"/>
      </w:pPr>
      <w:r w:rsidRPr="00355258">
        <w:t xml:space="preserve">表1 </w:t>
      </w:r>
      <w:r w:rsidRPr="00355258">
        <w:rPr>
          <w:rFonts w:hint="eastAsia"/>
        </w:rPr>
        <w:t>赛道1创新实践报告的评分标准</w:t>
      </w:r>
    </w:p>
    <w:tbl>
      <w:tblPr>
        <w:tblStyle w:val="a6"/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5670"/>
        <w:gridCol w:w="709"/>
      </w:tblGrid>
      <w:tr w:rsidR="0066519F" w:rsidRPr="00355258" w:rsidTr="009517C3">
        <w:trPr>
          <w:trHeight w:val="603"/>
          <w:jc w:val="center"/>
        </w:trPr>
        <w:tc>
          <w:tcPr>
            <w:tcW w:w="2547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评分项目</w:t>
            </w:r>
          </w:p>
        </w:tc>
        <w:tc>
          <w:tcPr>
            <w:tcW w:w="5670" w:type="dxa"/>
            <w:vAlign w:val="center"/>
          </w:tcPr>
          <w:p w:rsidR="0066519F" w:rsidRPr="0087041F" w:rsidRDefault="0066519F" w:rsidP="00FB5422">
            <w:pPr>
              <w:pStyle w:val="a3"/>
              <w:rPr>
                <w:rFonts w:ascii="仿宋" w:eastAsia="仿宋" w:hAnsi="仿宋"/>
              </w:rPr>
            </w:pPr>
            <w:r w:rsidRPr="0087041F">
              <w:rPr>
                <w:rFonts w:hint="eastAsia"/>
              </w:rPr>
              <w:t>内容</w:t>
            </w:r>
          </w:p>
        </w:tc>
        <w:tc>
          <w:tcPr>
            <w:tcW w:w="709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分值</w:t>
            </w:r>
          </w:p>
        </w:tc>
      </w:tr>
      <w:tr w:rsidR="0066519F" w:rsidRPr="00355258" w:rsidTr="009517C3">
        <w:trPr>
          <w:trHeight w:val="905"/>
          <w:jc w:val="center"/>
        </w:trPr>
        <w:tc>
          <w:tcPr>
            <w:tcW w:w="2547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问题诊断与分析</w:t>
            </w:r>
          </w:p>
        </w:tc>
        <w:tc>
          <w:tcPr>
            <w:tcW w:w="5670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精准定位企业痛点</w:t>
            </w:r>
            <w:r w:rsidRPr="0087041F">
              <w:rPr>
                <w:rFonts w:hint="eastAsia"/>
              </w:rPr>
              <w:t>、</w:t>
            </w:r>
            <w:r w:rsidRPr="0087041F">
              <w:t>问题描述清晰</w:t>
            </w:r>
            <w:r w:rsidRPr="0087041F">
              <w:rPr>
                <w:rFonts w:hint="eastAsia"/>
              </w:rPr>
              <w:t>、企业经营问题明确性、分析工具使用</w:t>
            </w:r>
          </w:p>
        </w:tc>
        <w:tc>
          <w:tcPr>
            <w:tcW w:w="709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20</w:t>
            </w:r>
          </w:p>
        </w:tc>
      </w:tr>
      <w:tr w:rsidR="0066519F" w:rsidRPr="00355258" w:rsidTr="009517C3">
        <w:trPr>
          <w:trHeight w:val="597"/>
          <w:jc w:val="center"/>
        </w:trPr>
        <w:tc>
          <w:tcPr>
            <w:tcW w:w="2547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智能体创新方案的独特性</w:t>
            </w:r>
          </w:p>
        </w:tc>
        <w:tc>
          <w:tcPr>
            <w:tcW w:w="5670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实践洞察力、管理创新提案的前瞻性、系统性、协同性和整体性</w:t>
            </w:r>
          </w:p>
        </w:tc>
        <w:tc>
          <w:tcPr>
            <w:tcW w:w="709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20</w:t>
            </w:r>
          </w:p>
        </w:tc>
      </w:tr>
      <w:tr w:rsidR="0066519F" w:rsidRPr="00355258" w:rsidTr="009517C3">
        <w:trPr>
          <w:trHeight w:val="905"/>
          <w:jc w:val="center"/>
        </w:trPr>
        <w:tc>
          <w:tcPr>
            <w:tcW w:w="2547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智能体技术深度与复杂度</w:t>
            </w:r>
          </w:p>
        </w:tc>
        <w:tc>
          <w:tcPr>
            <w:tcW w:w="5670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智能体技术选型的适配性、技术方案与经营业务需求匹配度、实现难度与工作量</w:t>
            </w:r>
          </w:p>
        </w:tc>
        <w:tc>
          <w:tcPr>
            <w:tcW w:w="709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30</w:t>
            </w:r>
          </w:p>
        </w:tc>
      </w:tr>
      <w:tr w:rsidR="0066519F" w:rsidRPr="00355258" w:rsidTr="009517C3">
        <w:trPr>
          <w:trHeight w:val="905"/>
          <w:jc w:val="center"/>
        </w:trPr>
        <w:tc>
          <w:tcPr>
            <w:tcW w:w="2547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专业知识度</w:t>
            </w:r>
          </w:p>
        </w:tc>
        <w:tc>
          <w:tcPr>
            <w:tcW w:w="5670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相关理论应用性、跨学科知识融合、数智化技能与应用、专业知识的深度</w:t>
            </w:r>
          </w:p>
        </w:tc>
        <w:tc>
          <w:tcPr>
            <w:tcW w:w="709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10</w:t>
            </w:r>
          </w:p>
        </w:tc>
      </w:tr>
      <w:tr w:rsidR="0066519F" w:rsidRPr="00355258" w:rsidTr="009517C3">
        <w:trPr>
          <w:trHeight w:val="742"/>
          <w:jc w:val="center"/>
        </w:trPr>
        <w:tc>
          <w:tcPr>
            <w:tcW w:w="2547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方案实施与风险应对</w:t>
            </w:r>
          </w:p>
        </w:tc>
        <w:tc>
          <w:tcPr>
            <w:tcW w:w="5670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方案实施阶段划分、资源分配、动态管理、风险识别与应对策略</w:t>
            </w:r>
          </w:p>
        </w:tc>
        <w:tc>
          <w:tcPr>
            <w:tcW w:w="709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10</w:t>
            </w:r>
          </w:p>
        </w:tc>
      </w:tr>
      <w:tr w:rsidR="0066519F" w:rsidRPr="00355258" w:rsidTr="009517C3">
        <w:trPr>
          <w:trHeight w:val="742"/>
          <w:jc w:val="center"/>
        </w:trPr>
        <w:tc>
          <w:tcPr>
            <w:tcW w:w="2547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报告呈现质量</w:t>
            </w:r>
          </w:p>
        </w:tc>
        <w:tc>
          <w:tcPr>
            <w:tcW w:w="5670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结构严谨性</w:t>
            </w:r>
            <w:r w:rsidRPr="0087041F">
              <w:rPr>
                <w:rFonts w:hint="eastAsia"/>
              </w:rPr>
              <w:t>、逻辑清晰度、数据可视化程度、学术规范性</w:t>
            </w:r>
          </w:p>
        </w:tc>
        <w:tc>
          <w:tcPr>
            <w:tcW w:w="709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10</w:t>
            </w:r>
          </w:p>
        </w:tc>
      </w:tr>
      <w:tr w:rsidR="0066519F" w:rsidRPr="00355258" w:rsidTr="0027127E">
        <w:trPr>
          <w:trHeight w:val="409"/>
          <w:jc w:val="center"/>
        </w:trPr>
        <w:tc>
          <w:tcPr>
            <w:tcW w:w="8217" w:type="dxa"/>
            <w:gridSpan w:val="2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合计</w:t>
            </w:r>
          </w:p>
        </w:tc>
        <w:tc>
          <w:tcPr>
            <w:tcW w:w="709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1</w:t>
            </w:r>
            <w:r w:rsidRPr="0087041F">
              <w:t>00</w:t>
            </w:r>
          </w:p>
        </w:tc>
      </w:tr>
    </w:tbl>
    <w:p w:rsidR="0066519F" w:rsidRPr="00ED472B" w:rsidRDefault="0066519F" w:rsidP="0066519F">
      <w:pPr>
        <w:autoSpaceDE w:val="0"/>
        <w:spacing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</w:p>
    <w:p w:rsidR="0066519F" w:rsidRPr="004E6326" w:rsidRDefault="004E6326" w:rsidP="0066519F">
      <w:pPr>
        <w:autoSpaceDE w:val="0"/>
        <w:spacing w:line="560" w:lineRule="exact"/>
        <w:ind w:firstLineChars="200" w:firstLine="636"/>
        <w:rPr>
          <w:rFonts w:ascii="Times New Roman" w:eastAsia="楷体_GB2312" w:hAnsi="Times New Roman" w:cs="楷体_GB2312"/>
          <w:spacing w:val="-1"/>
          <w:kern w:val="0"/>
          <w:sz w:val="32"/>
          <w:szCs w:val="32"/>
          <w:shd w:val="clear" w:color="auto" w:fill="FFFFFF"/>
        </w:rPr>
      </w:pPr>
      <w:r w:rsidRPr="004E6326">
        <w:rPr>
          <w:rFonts w:ascii="Times New Roman" w:eastAsia="楷体_GB2312" w:hAnsi="Times New Roman" w:cs="楷体_GB2312" w:hint="eastAsia"/>
          <w:spacing w:val="-1"/>
          <w:kern w:val="0"/>
          <w:sz w:val="32"/>
          <w:szCs w:val="32"/>
          <w:shd w:val="clear" w:color="auto" w:fill="FFFFFF"/>
        </w:rPr>
        <w:t>（二）</w:t>
      </w:r>
      <w:r w:rsidR="0066519F" w:rsidRPr="004E6326">
        <w:rPr>
          <w:rFonts w:ascii="Times New Roman" w:eastAsia="楷体_GB2312" w:hAnsi="Times New Roman" w:cs="楷体_GB2312" w:hint="eastAsia"/>
          <w:spacing w:val="-1"/>
          <w:kern w:val="0"/>
          <w:sz w:val="32"/>
          <w:szCs w:val="32"/>
          <w:shd w:val="clear" w:color="auto" w:fill="FFFFFF"/>
        </w:rPr>
        <w:t>答辩成绩</w:t>
      </w:r>
    </w:p>
    <w:p w:rsidR="00306DF4" w:rsidRDefault="00306DF4" w:rsidP="0066519F">
      <w:pPr>
        <w:autoSpaceDE w:val="0"/>
        <w:spacing w:line="560" w:lineRule="exact"/>
        <w:ind w:firstLineChars="200" w:firstLine="640"/>
        <w:rPr>
          <w:rFonts w:ascii="仿宋_GB2312" w:eastAsia="仿宋_GB2312" w:hAnsi="Times New Roman" w:cs="宋体"/>
          <w:bCs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创新报告前</w:t>
      </w:r>
      <w:r>
        <w:rPr>
          <w:rFonts w:ascii="仿宋_GB2312" w:eastAsia="仿宋_GB2312" w:hAnsi="Times New Roman" w:cs="宋体"/>
          <w:bCs/>
          <w:kern w:val="0"/>
          <w:sz w:val="32"/>
          <w:szCs w:val="32"/>
        </w:rPr>
        <w:t>25%</w:t>
      </w:r>
      <w:r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的</w:t>
      </w:r>
      <w:r w:rsidR="00167D63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队伍</w:t>
      </w:r>
      <w:r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进入答辩环节。</w:t>
      </w:r>
    </w:p>
    <w:p w:rsidR="0066519F" w:rsidRPr="0066519F" w:rsidRDefault="0066519F" w:rsidP="0066519F">
      <w:pPr>
        <w:autoSpaceDE w:val="0"/>
        <w:spacing w:line="560" w:lineRule="exact"/>
        <w:ind w:firstLineChars="200" w:firstLine="640"/>
        <w:rPr>
          <w:rFonts w:ascii="仿宋_GB2312" w:eastAsia="仿宋_GB2312" w:hAnsi="Times New Roman" w:cs="宋体"/>
          <w:bCs/>
          <w:kern w:val="0"/>
          <w:sz w:val="32"/>
          <w:szCs w:val="32"/>
        </w:rPr>
      </w:pP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根据创新实践报告分数排序进行分组，以A、B两组为例，则按照ABBAABBA…进行答辩分组，组内答辩次序由抽签决定。答辩环节的评分标准见表2。</w:t>
      </w:r>
    </w:p>
    <w:p w:rsidR="0066519F" w:rsidRPr="0066519F" w:rsidRDefault="0066519F" w:rsidP="0066519F">
      <w:pPr>
        <w:autoSpaceDE w:val="0"/>
        <w:spacing w:line="560" w:lineRule="exact"/>
        <w:ind w:firstLineChars="200" w:firstLine="640"/>
        <w:rPr>
          <w:rFonts w:ascii="仿宋_GB2312" w:eastAsia="仿宋_GB2312" w:hAnsi="Times New Roman" w:cs="宋体"/>
          <w:bCs/>
          <w:kern w:val="0"/>
          <w:sz w:val="32"/>
          <w:szCs w:val="32"/>
        </w:rPr>
      </w:pP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lastRenderedPageBreak/>
        <w:t>参赛团队的答辩成绩为：去掉最高分和最低分，取其他分数的平均值为初始答辩成绩，然后按照以下公式计算最终答辩成绩。</w:t>
      </w:r>
    </w:p>
    <w:p w:rsidR="0066519F" w:rsidRPr="0066519F" w:rsidRDefault="0066519F" w:rsidP="0066519F">
      <w:pPr>
        <w:autoSpaceDE w:val="0"/>
        <w:spacing w:line="560" w:lineRule="exact"/>
        <w:ind w:firstLineChars="200" w:firstLine="640"/>
        <w:rPr>
          <w:rFonts w:ascii="仿宋_GB2312" w:eastAsia="仿宋_GB2312" w:hAnsi="Times New Roman" w:cs="宋体"/>
          <w:bCs/>
          <w:kern w:val="0"/>
          <w:sz w:val="32"/>
          <w:szCs w:val="32"/>
        </w:rPr>
      </w:pP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答辩成绩＝本队初始答辩成绩×（全体参赛队伍初始答辩成绩均值／所在组参赛队伍初始答辩成绩均值）。</w:t>
      </w:r>
    </w:p>
    <w:p w:rsidR="0066519F" w:rsidRPr="0087041F" w:rsidRDefault="0066519F" w:rsidP="00FB5422">
      <w:pPr>
        <w:pStyle w:val="a3"/>
      </w:pPr>
      <w:r w:rsidRPr="0087041F">
        <w:t>表2</w:t>
      </w:r>
      <w:r w:rsidRPr="0087041F">
        <w:rPr>
          <w:rFonts w:hint="eastAsia"/>
        </w:rPr>
        <w:t xml:space="preserve"> 赛道1答辩评分标准</w:t>
      </w:r>
    </w:p>
    <w:tbl>
      <w:tblPr>
        <w:tblStyle w:val="a6"/>
        <w:tblW w:w="8792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5244"/>
        <w:gridCol w:w="746"/>
      </w:tblGrid>
      <w:tr w:rsidR="0066519F" w:rsidRPr="0087041F" w:rsidTr="0027127E">
        <w:trPr>
          <w:trHeight w:val="143"/>
        </w:trPr>
        <w:tc>
          <w:tcPr>
            <w:tcW w:w="817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阶段</w:t>
            </w:r>
          </w:p>
        </w:tc>
        <w:tc>
          <w:tcPr>
            <w:tcW w:w="1985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评分项目</w:t>
            </w:r>
          </w:p>
        </w:tc>
        <w:tc>
          <w:tcPr>
            <w:tcW w:w="524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内容</w:t>
            </w:r>
          </w:p>
        </w:tc>
        <w:tc>
          <w:tcPr>
            <w:tcW w:w="746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分值</w:t>
            </w:r>
          </w:p>
        </w:tc>
      </w:tr>
      <w:tr w:rsidR="0066519F" w:rsidRPr="0087041F" w:rsidTr="0027127E">
        <w:trPr>
          <w:trHeight w:val="699"/>
        </w:trPr>
        <w:tc>
          <w:tcPr>
            <w:tcW w:w="817" w:type="dxa"/>
            <w:vMerge w:val="restart"/>
            <w:vAlign w:val="center"/>
          </w:tcPr>
          <w:p w:rsidR="0066519F" w:rsidRPr="0087041F" w:rsidRDefault="00DA334E" w:rsidP="00FB5422">
            <w:pPr>
              <w:pStyle w:val="a3"/>
            </w:pPr>
            <w:r w:rsidRPr="0087041F">
              <w:rPr>
                <w:rFonts w:hint="eastAsia"/>
              </w:rPr>
              <w:t>陈述环节</w:t>
            </w:r>
          </w:p>
        </w:tc>
        <w:tc>
          <w:tcPr>
            <w:tcW w:w="1985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智能体应用及效果</w:t>
            </w:r>
          </w:p>
        </w:tc>
        <w:tc>
          <w:tcPr>
            <w:tcW w:w="524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智能体构建逻辑清晰度、智能体数据训练集、智能体性能、智能体应用成效</w:t>
            </w:r>
          </w:p>
        </w:tc>
        <w:tc>
          <w:tcPr>
            <w:tcW w:w="746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3</w:t>
            </w:r>
            <w:r w:rsidRPr="0087041F">
              <w:rPr>
                <w:rFonts w:hint="eastAsia"/>
              </w:rPr>
              <w:t>0</w:t>
            </w:r>
          </w:p>
        </w:tc>
      </w:tr>
      <w:tr w:rsidR="00DA334E" w:rsidRPr="0087041F" w:rsidTr="0027127E">
        <w:trPr>
          <w:trHeight w:val="699"/>
        </w:trPr>
        <w:tc>
          <w:tcPr>
            <w:tcW w:w="817" w:type="dxa"/>
            <w:vMerge/>
            <w:vAlign w:val="center"/>
          </w:tcPr>
          <w:p w:rsidR="00DA334E" w:rsidRPr="0087041F" w:rsidRDefault="00DA334E" w:rsidP="00FB5422">
            <w:pPr>
              <w:pStyle w:val="a3"/>
            </w:pPr>
          </w:p>
        </w:tc>
        <w:tc>
          <w:tcPr>
            <w:tcW w:w="1985" w:type="dxa"/>
            <w:vAlign w:val="center"/>
          </w:tcPr>
          <w:p w:rsidR="00DA334E" w:rsidRPr="0087041F" w:rsidRDefault="00DA334E" w:rsidP="00FB5422">
            <w:pPr>
              <w:pStyle w:val="a3"/>
            </w:pPr>
            <w:r w:rsidRPr="0087041F">
              <w:rPr>
                <w:rFonts w:hint="eastAsia"/>
              </w:rPr>
              <w:t>内容完整性与逻辑清晰性</w:t>
            </w:r>
          </w:p>
        </w:tc>
        <w:tc>
          <w:tcPr>
            <w:tcW w:w="5244" w:type="dxa"/>
            <w:vAlign w:val="center"/>
          </w:tcPr>
          <w:p w:rsidR="00DA334E" w:rsidRPr="0087041F" w:rsidRDefault="00DA334E" w:rsidP="00FB5422">
            <w:pPr>
              <w:pStyle w:val="a3"/>
            </w:pPr>
            <w:r w:rsidRPr="0087041F">
              <w:rPr>
                <w:rFonts w:hint="eastAsia"/>
              </w:rPr>
              <w:t>逻辑清晰地表达智能体项目的背景、目标、核心功能、技术方案、商业价值及应用效果</w:t>
            </w:r>
          </w:p>
        </w:tc>
        <w:tc>
          <w:tcPr>
            <w:tcW w:w="746" w:type="dxa"/>
            <w:vAlign w:val="center"/>
          </w:tcPr>
          <w:p w:rsidR="00DA334E" w:rsidRPr="0087041F" w:rsidRDefault="00DA334E" w:rsidP="00FB5422">
            <w:pPr>
              <w:pStyle w:val="a3"/>
            </w:pPr>
            <w:r w:rsidRPr="0087041F">
              <w:t>20</w:t>
            </w:r>
          </w:p>
        </w:tc>
      </w:tr>
      <w:tr w:rsidR="0066519F" w:rsidRPr="0087041F" w:rsidTr="0027127E">
        <w:trPr>
          <w:trHeight w:val="479"/>
        </w:trPr>
        <w:tc>
          <w:tcPr>
            <w:tcW w:w="817" w:type="dxa"/>
            <w:vMerge/>
            <w:vAlign w:val="center"/>
          </w:tcPr>
          <w:p w:rsidR="0066519F" w:rsidRPr="0087041F" w:rsidRDefault="0066519F" w:rsidP="00FB5422">
            <w:pPr>
              <w:pStyle w:val="a3"/>
            </w:pPr>
          </w:p>
        </w:tc>
        <w:tc>
          <w:tcPr>
            <w:tcW w:w="1985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智能体方案表达</w:t>
            </w:r>
          </w:p>
        </w:tc>
        <w:tc>
          <w:tcPr>
            <w:tcW w:w="524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智能体演示效果</w:t>
            </w:r>
          </w:p>
        </w:tc>
        <w:tc>
          <w:tcPr>
            <w:tcW w:w="746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10</w:t>
            </w:r>
          </w:p>
        </w:tc>
      </w:tr>
      <w:tr w:rsidR="0066519F" w:rsidRPr="0087041F" w:rsidTr="0027127E">
        <w:trPr>
          <w:trHeight w:val="319"/>
        </w:trPr>
        <w:tc>
          <w:tcPr>
            <w:tcW w:w="817" w:type="dxa"/>
            <w:vMerge w:val="restart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问答环节</w:t>
            </w:r>
          </w:p>
        </w:tc>
        <w:tc>
          <w:tcPr>
            <w:tcW w:w="1985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临场反应</w:t>
            </w:r>
          </w:p>
        </w:tc>
        <w:tc>
          <w:tcPr>
            <w:tcW w:w="524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准确理解提问意图、回答迅速、抓住要点、逻辑连贯、语言简洁</w:t>
            </w:r>
          </w:p>
        </w:tc>
        <w:tc>
          <w:tcPr>
            <w:tcW w:w="746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15</w:t>
            </w:r>
          </w:p>
        </w:tc>
      </w:tr>
      <w:tr w:rsidR="0066519F" w:rsidRPr="0087041F" w:rsidTr="0027127E">
        <w:trPr>
          <w:trHeight w:val="143"/>
        </w:trPr>
        <w:tc>
          <w:tcPr>
            <w:tcW w:w="817" w:type="dxa"/>
            <w:vMerge/>
            <w:vAlign w:val="center"/>
          </w:tcPr>
          <w:p w:rsidR="0066519F" w:rsidRPr="0087041F" w:rsidRDefault="0066519F" w:rsidP="00FB5422">
            <w:pPr>
              <w:pStyle w:val="a3"/>
            </w:pPr>
          </w:p>
        </w:tc>
        <w:tc>
          <w:tcPr>
            <w:tcW w:w="1985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专业深度</w:t>
            </w:r>
          </w:p>
        </w:tc>
        <w:tc>
          <w:tcPr>
            <w:tcW w:w="524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专业知识面广、展现对知识的深刻理解并灵活应用专业知识</w:t>
            </w:r>
          </w:p>
        </w:tc>
        <w:tc>
          <w:tcPr>
            <w:tcW w:w="746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15</w:t>
            </w:r>
          </w:p>
        </w:tc>
      </w:tr>
      <w:tr w:rsidR="0066519F" w:rsidRPr="0087041F" w:rsidTr="0027127E">
        <w:trPr>
          <w:trHeight w:val="769"/>
        </w:trPr>
        <w:tc>
          <w:tcPr>
            <w:tcW w:w="817" w:type="dxa"/>
            <w:vMerge/>
            <w:vAlign w:val="center"/>
          </w:tcPr>
          <w:p w:rsidR="0066519F" w:rsidRPr="0087041F" w:rsidRDefault="0066519F" w:rsidP="00FB5422">
            <w:pPr>
              <w:pStyle w:val="a3"/>
            </w:pPr>
          </w:p>
        </w:tc>
        <w:tc>
          <w:tcPr>
            <w:tcW w:w="1985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整体印象</w:t>
            </w:r>
          </w:p>
        </w:tc>
        <w:tc>
          <w:tcPr>
            <w:tcW w:w="524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答辩整体逻辑性、回答问题的清晰程度、问题回答创新性和正确性、团队成员协作补充</w:t>
            </w:r>
          </w:p>
        </w:tc>
        <w:tc>
          <w:tcPr>
            <w:tcW w:w="746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10</w:t>
            </w:r>
          </w:p>
        </w:tc>
      </w:tr>
      <w:tr w:rsidR="0066519F" w:rsidRPr="0087041F" w:rsidTr="0027127E">
        <w:trPr>
          <w:trHeight w:val="367"/>
        </w:trPr>
        <w:tc>
          <w:tcPr>
            <w:tcW w:w="8046" w:type="dxa"/>
            <w:gridSpan w:val="3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合计</w:t>
            </w:r>
          </w:p>
        </w:tc>
        <w:tc>
          <w:tcPr>
            <w:tcW w:w="746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100</w:t>
            </w:r>
          </w:p>
        </w:tc>
      </w:tr>
    </w:tbl>
    <w:p w:rsidR="0066519F" w:rsidRPr="00ED472B" w:rsidRDefault="0066519F" w:rsidP="0066519F">
      <w:pPr>
        <w:autoSpaceDE w:val="0"/>
        <w:spacing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</w:p>
    <w:p w:rsidR="0066519F" w:rsidRPr="00DA334E" w:rsidRDefault="0066519F" w:rsidP="0066519F">
      <w:pPr>
        <w:autoSpaceDE w:val="0"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</w:rPr>
      </w:pPr>
      <w:r w:rsidRPr="00DA334E">
        <w:rPr>
          <w:rFonts w:ascii="黑体" w:eastAsia="黑体" w:hAnsi="黑体" w:cs="宋体" w:hint="eastAsia"/>
          <w:bCs/>
          <w:kern w:val="0"/>
          <w:sz w:val="32"/>
          <w:szCs w:val="32"/>
        </w:rPr>
        <w:t>二</w:t>
      </w:r>
      <w:r w:rsidR="00DA334E">
        <w:rPr>
          <w:rFonts w:ascii="黑体" w:eastAsia="黑体" w:hAnsi="黑体" w:cs="宋体" w:hint="eastAsia"/>
          <w:bCs/>
          <w:kern w:val="0"/>
          <w:sz w:val="32"/>
          <w:szCs w:val="32"/>
        </w:rPr>
        <w:t>、</w:t>
      </w:r>
      <w:r w:rsidRPr="00DA334E">
        <w:rPr>
          <w:rFonts w:ascii="黑体" w:eastAsia="黑体" w:hAnsi="黑体" w:cs="宋体" w:hint="eastAsia"/>
          <w:bCs/>
          <w:kern w:val="0"/>
          <w:sz w:val="32"/>
          <w:szCs w:val="32"/>
        </w:rPr>
        <w:t>赛道</w:t>
      </w:r>
      <w:r w:rsidRPr="00DA334E">
        <w:rPr>
          <w:rFonts w:ascii="黑体" w:eastAsia="黑体" w:hAnsi="黑体" w:cs="宋体"/>
          <w:bCs/>
          <w:kern w:val="0"/>
          <w:sz w:val="32"/>
          <w:szCs w:val="32"/>
        </w:rPr>
        <w:t>2</w:t>
      </w:r>
      <w:r w:rsidR="00DA334E">
        <w:rPr>
          <w:rFonts w:ascii="黑体" w:eastAsia="黑体" w:hAnsi="黑体" w:cs="宋体" w:hint="eastAsia"/>
          <w:bCs/>
          <w:kern w:val="0"/>
          <w:sz w:val="32"/>
          <w:szCs w:val="32"/>
        </w:rPr>
        <w:t>-</w:t>
      </w:r>
      <w:r w:rsidRPr="00DA334E">
        <w:rPr>
          <w:rFonts w:ascii="黑体" w:eastAsia="黑体" w:hAnsi="黑体" w:cs="宋体" w:hint="eastAsia"/>
          <w:bCs/>
          <w:kern w:val="0"/>
          <w:sz w:val="32"/>
          <w:szCs w:val="32"/>
        </w:rPr>
        <w:t>数智决策对抗赛</w:t>
      </w:r>
    </w:p>
    <w:p w:rsidR="009517C3" w:rsidRDefault="0066519F" w:rsidP="0066519F">
      <w:pPr>
        <w:autoSpaceDE w:val="0"/>
        <w:spacing w:line="560" w:lineRule="exact"/>
        <w:ind w:firstLineChars="200" w:firstLine="640"/>
        <w:rPr>
          <w:rFonts w:ascii="仿宋_GB2312" w:eastAsia="仿宋_GB2312" w:hAnsi="Times New Roman" w:cs="宋体"/>
          <w:bCs/>
          <w:kern w:val="0"/>
          <w:sz w:val="32"/>
          <w:szCs w:val="32"/>
        </w:rPr>
      </w:pP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总成绩=对抗赛成绩×60%+答辩成绩×40%</w:t>
      </w:r>
    </w:p>
    <w:p w:rsidR="0066519F" w:rsidRPr="004E6326" w:rsidRDefault="004E6326" w:rsidP="0066519F">
      <w:pPr>
        <w:autoSpaceDE w:val="0"/>
        <w:spacing w:line="560" w:lineRule="exact"/>
        <w:ind w:firstLineChars="200" w:firstLine="636"/>
        <w:rPr>
          <w:rFonts w:ascii="Times New Roman" w:eastAsia="楷体_GB2312" w:hAnsi="Times New Roman" w:cs="楷体_GB2312"/>
          <w:spacing w:val="-1"/>
          <w:kern w:val="0"/>
          <w:sz w:val="32"/>
          <w:szCs w:val="32"/>
          <w:shd w:val="clear" w:color="auto" w:fill="FFFFFF"/>
        </w:rPr>
      </w:pPr>
      <w:r w:rsidRPr="004E6326">
        <w:rPr>
          <w:rFonts w:ascii="Times New Roman" w:eastAsia="楷体_GB2312" w:hAnsi="Times New Roman" w:cs="楷体_GB2312" w:hint="eastAsia"/>
          <w:spacing w:val="-1"/>
          <w:kern w:val="0"/>
          <w:sz w:val="32"/>
          <w:szCs w:val="32"/>
          <w:shd w:val="clear" w:color="auto" w:fill="FFFFFF"/>
        </w:rPr>
        <w:t>（一）</w:t>
      </w:r>
      <w:r w:rsidR="0066519F" w:rsidRPr="004E6326">
        <w:rPr>
          <w:rFonts w:ascii="Times New Roman" w:eastAsia="楷体_GB2312" w:hAnsi="Times New Roman" w:cs="楷体_GB2312" w:hint="eastAsia"/>
          <w:spacing w:val="-1"/>
          <w:kern w:val="0"/>
          <w:sz w:val="32"/>
          <w:szCs w:val="32"/>
          <w:shd w:val="clear" w:color="auto" w:fill="FFFFFF"/>
        </w:rPr>
        <w:t>对抗赛成绩（满分</w:t>
      </w:r>
      <w:r w:rsidR="0066519F" w:rsidRPr="004E6326">
        <w:rPr>
          <w:rFonts w:ascii="Times New Roman" w:eastAsia="楷体_GB2312" w:hAnsi="Times New Roman" w:cs="楷体_GB2312" w:hint="eastAsia"/>
          <w:spacing w:val="-1"/>
          <w:kern w:val="0"/>
          <w:sz w:val="32"/>
          <w:szCs w:val="32"/>
          <w:shd w:val="clear" w:color="auto" w:fill="FFFFFF"/>
        </w:rPr>
        <w:t>1</w:t>
      </w:r>
      <w:r w:rsidR="0066519F" w:rsidRPr="004E6326">
        <w:rPr>
          <w:rFonts w:ascii="Times New Roman" w:eastAsia="楷体_GB2312" w:hAnsi="Times New Roman" w:cs="楷体_GB2312"/>
          <w:spacing w:val="-1"/>
          <w:kern w:val="0"/>
          <w:sz w:val="32"/>
          <w:szCs w:val="32"/>
          <w:shd w:val="clear" w:color="auto" w:fill="FFFFFF"/>
        </w:rPr>
        <w:t>00</w:t>
      </w:r>
      <w:r w:rsidR="0066519F" w:rsidRPr="004E6326">
        <w:rPr>
          <w:rFonts w:ascii="Times New Roman" w:eastAsia="楷体_GB2312" w:hAnsi="Times New Roman" w:cs="楷体_GB2312" w:hint="eastAsia"/>
          <w:spacing w:val="-1"/>
          <w:kern w:val="0"/>
          <w:sz w:val="32"/>
          <w:szCs w:val="32"/>
          <w:shd w:val="clear" w:color="auto" w:fill="FFFFFF"/>
        </w:rPr>
        <w:t>）</w:t>
      </w:r>
    </w:p>
    <w:p w:rsidR="0066519F" w:rsidRPr="0066519F" w:rsidRDefault="0066519F" w:rsidP="0066519F">
      <w:pPr>
        <w:autoSpaceDE w:val="0"/>
        <w:spacing w:line="560" w:lineRule="exact"/>
        <w:ind w:firstLineChars="200" w:firstLine="640"/>
        <w:rPr>
          <w:rFonts w:ascii="仿宋_GB2312" w:eastAsia="仿宋_GB2312" w:hAnsi="Times New Roman" w:cs="宋体"/>
          <w:bCs/>
          <w:kern w:val="0"/>
          <w:sz w:val="32"/>
          <w:szCs w:val="32"/>
        </w:rPr>
      </w:pP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对抗赛成绩=40+60/N*（N+1-k）</w:t>
      </w:r>
    </w:p>
    <w:p w:rsidR="0066519F" w:rsidRPr="0066519F" w:rsidRDefault="0066519F" w:rsidP="0066519F">
      <w:pPr>
        <w:autoSpaceDE w:val="0"/>
        <w:spacing w:line="560" w:lineRule="exact"/>
        <w:ind w:firstLineChars="200" w:firstLine="640"/>
        <w:rPr>
          <w:rFonts w:ascii="仿宋_GB2312" w:eastAsia="仿宋_GB2312" w:hAnsi="Times New Roman" w:cs="宋体"/>
          <w:bCs/>
          <w:kern w:val="0"/>
          <w:sz w:val="32"/>
          <w:szCs w:val="32"/>
        </w:rPr>
      </w:pP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其中，N为</w:t>
      </w:r>
      <w:r w:rsidR="00DA334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最大</w:t>
      </w: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赛区队伍数，k为</w:t>
      </w:r>
      <w:r w:rsidR="00551115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第4年第4季度</w:t>
      </w:r>
      <w:r w:rsidR="003C3356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结束后</w:t>
      </w:r>
      <w:r w:rsidR="005D0D14" w:rsidRPr="00551115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各参赛队伍</w:t>
      </w:r>
      <w:r w:rsidR="00551115" w:rsidRPr="00551115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经营得分</w:t>
      </w:r>
      <w:r w:rsidR="00551115" w:rsidRPr="00551115">
        <w:rPr>
          <w:rFonts w:ascii="仿宋_GB2312" w:eastAsia="仿宋_GB2312" w:hAnsi="Times New Roman" w:cs="宋体"/>
          <w:bCs/>
          <w:kern w:val="0"/>
          <w:sz w:val="32"/>
          <w:szCs w:val="32"/>
        </w:rPr>
        <w:t>Z</w:t>
      </w:r>
      <w:r w:rsidR="00551115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在</w:t>
      </w: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赛区</w:t>
      </w:r>
      <w:r w:rsidR="00551115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中的</w:t>
      </w: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名次。</w:t>
      </w:r>
    </w:p>
    <w:p w:rsidR="0066519F" w:rsidRPr="004E6326" w:rsidRDefault="004E6326" w:rsidP="0066519F">
      <w:pPr>
        <w:autoSpaceDE w:val="0"/>
        <w:spacing w:line="560" w:lineRule="exact"/>
        <w:ind w:firstLineChars="200" w:firstLine="636"/>
        <w:rPr>
          <w:rFonts w:ascii="Times New Roman" w:eastAsia="楷体_GB2312" w:hAnsi="Times New Roman" w:cs="楷体_GB2312"/>
          <w:spacing w:val="-1"/>
          <w:kern w:val="0"/>
          <w:sz w:val="32"/>
          <w:szCs w:val="32"/>
          <w:shd w:val="clear" w:color="auto" w:fill="FFFFFF"/>
        </w:rPr>
      </w:pPr>
      <w:r w:rsidRPr="004E6326">
        <w:rPr>
          <w:rFonts w:ascii="Times New Roman" w:eastAsia="楷体_GB2312" w:hAnsi="Times New Roman" w:cs="楷体_GB2312" w:hint="eastAsia"/>
          <w:spacing w:val="-1"/>
          <w:kern w:val="0"/>
          <w:sz w:val="32"/>
          <w:szCs w:val="32"/>
          <w:shd w:val="clear" w:color="auto" w:fill="FFFFFF"/>
        </w:rPr>
        <w:t>（二）</w:t>
      </w:r>
      <w:r w:rsidR="0066519F" w:rsidRPr="004E6326">
        <w:rPr>
          <w:rFonts w:ascii="Times New Roman" w:eastAsia="楷体_GB2312" w:hAnsi="Times New Roman" w:cs="楷体_GB2312" w:hint="eastAsia"/>
          <w:spacing w:val="-1"/>
          <w:kern w:val="0"/>
          <w:sz w:val="32"/>
          <w:szCs w:val="32"/>
          <w:shd w:val="clear" w:color="auto" w:fill="FFFFFF"/>
        </w:rPr>
        <w:t>答辩成绩（满分</w:t>
      </w:r>
      <w:r w:rsidR="0066519F" w:rsidRPr="004E6326">
        <w:rPr>
          <w:rFonts w:ascii="Times New Roman" w:eastAsia="楷体_GB2312" w:hAnsi="Times New Roman" w:cs="楷体_GB2312" w:hint="eastAsia"/>
          <w:spacing w:val="-1"/>
          <w:kern w:val="0"/>
          <w:sz w:val="32"/>
          <w:szCs w:val="32"/>
          <w:shd w:val="clear" w:color="auto" w:fill="FFFFFF"/>
        </w:rPr>
        <w:t>1</w:t>
      </w:r>
      <w:r w:rsidR="0066519F" w:rsidRPr="004E6326">
        <w:rPr>
          <w:rFonts w:ascii="Times New Roman" w:eastAsia="楷体_GB2312" w:hAnsi="Times New Roman" w:cs="楷体_GB2312"/>
          <w:spacing w:val="-1"/>
          <w:kern w:val="0"/>
          <w:sz w:val="32"/>
          <w:szCs w:val="32"/>
          <w:shd w:val="clear" w:color="auto" w:fill="FFFFFF"/>
        </w:rPr>
        <w:t>00</w:t>
      </w:r>
      <w:r w:rsidR="0066519F" w:rsidRPr="004E6326">
        <w:rPr>
          <w:rFonts w:ascii="Times New Roman" w:eastAsia="楷体_GB2312" w:hAnsi="Times New Roman" w:cs="楷体_GB2312" w:hint="eastAsia"/>
          <w:spacing w:val="-1"/>
          <w:kern w:val="0"/>
          <w:sz w:val="32"/>
          <w:szCs w:val="32"/>
          <w:shd w:val="clear" w:color="auto" w:fill="FFFFFF"/>
        </w:rPr>
        <w:t>）</w:t>
      </w:r>
    </w:p>
    <w:p w:rsidR="009517C3" w:rsidRDefault="00306DF4" w:rsidP="0066519F">
      <w:pPr>
        <w:autoSpaceDE w:val="0"/>
        <w:spacing w:line="560" w:lineRule="exact"/>
        <w:ind w:firstLineChars="200" w:firstLine="640"/>
        <w:rPr>
          <w:rFonts w:ascii="仿宋_GB2312" w:eastAsia="仿宋_GB2312" w:hAnsi="Times New Roman" w:cs="宋体"/>
          <w:bCs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每个赛区</w:t>
      </w:r>
      <w:r w:rsidR="00167D63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对抗赛排名</w:t>
      </w:r>
      <w:r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前</w:t>
      </w:r>
      <w:r>
        <w:rPr>
          <w:rFonts w:ascii="仿宋_GB2312" w:eastAsia="仿宋_GB2312" w:hAnsi="Times New Roman" w:cs="宋体"/>
          <w:bCs/>
          <w:kern w:val="0"/>
          <w:sz w:val="32"/>
          <w:szCs w:val="32"/>
        </w:rPr>
        <w:t>25%</w:t>
      </w:r>
      <w:r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的队伍进入答辩环节。</w:t>
      </w:r>
    </w:p>
    <w:p w:rsidR="0066519F" w:rsidRPr="0066519F" w:rsidRDefault="0066519F" w:rsidP="0066519F">
      <w:pPr>
        <w:autoSpaceDE w:val="0"/>
        <w:spacing w:line="560" w:lineRule="exact"/>
        <w:ind w:firstLineChars="200" w:firstLine="640"/>
        <w:rPr>
          <w:rFonts w:ascii="仿宋_GB2312" w:eastAsia="仿宋_GB2312" w:hAnsi="Times New Roman" w:cs="宋体"/>
          <w:bCs/>
          <w:kern w:val="0"/>
          <w:sz w:val="32"/>
          <w:szCs w:val="32"/>
        </w:rPr>
      </w:pP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答辩分组根据竞赛情况确定，组内次序由抽签决定。答辩环节的评分标准</w:t>
      </w:r>
      <w:r w:rsidR="0087041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见表3</w:t>
      </w: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。</w:t>
      </w:r>
    </w:p>
    <w:p w:rsidR="0066519F" w:rsidRPr="0066519F" w:rsidRDefault="0066519F" w:rsidP="0066519F">
      <w:pPr>
        <w:autoSpaceDE w:val="0"/>
        <w:spacing w:line="560" w:lineRule="exact"/>
        <w:ind w:firstLineChars="200" w:firstLine="640"/>
        <w:rPr>
          <w:rFonts w:ascii="仿宋_GB2312" w:eastAsia="仿宋_GB2312" w:hAnsi="Times New Roman" w:cs="宋体"/>
          <w:bCs/>
          <w:kern w:val="0"/>
          <w:sz w:val="32"/>
          <w:szCs w:val="32"/>
        </w:rPr>
      </w:pP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lastRenderedPageBreak/>
        <w:t>参赛团队的答辩成绩为：去掉最高分和最低分，取其他分数的平均值为初始答辩成绩，然后按照以下公式计算最终答辩成绩。</w:t>
      </w:r>
    </w:p>
    <w:p w:rsidR="0066519F" w:rsidRPr="0066519F" w:rsidRDefault="0066519F" w:rsidP="0066519F">
      <w:pPr>
        <w:autoSpaceDE w:val="0"/>
        <w:spacing w:line="560" w:lineRule="exact"/>
        <w:ind w:firstLineChars="200" w:firstLine="640"/>
        <w:rPr>
          <w:rFonts w:ascii="仿宋_GB2312" w:eastAsia="仿宋_GB2312" w:hAnsi="Times New Roman" w:cs="宋体"/>
          <w:bCs/>
          <w:kern w:val="0"/>
          <w:sz w:val="32"/>
          <w:szCs w:val="32"/>
        </w:rPr>
      </w:pPr>
      <w:r w:rsidRPr="0066519F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答辩成绩＝本队初始答辩成绩×（全体参赛队伍初始答辩成绩均值／所在组参赛队伍初始答辩成绩均值）。</w:t>
      </w:r>
    </w:p>
    <w:p w:rsidR="0066519F" w:rsidRPr="0087041F" w:rsidRDefault="0066519F" w:rsidP="00FB5422">
      <w:pPr>
        <w:pStyle w:val="a3"/>
      </w:pPr>
      <w:r w:rsidRPr="0087041F">
        <w:t>表</w:t>
      </w:r>
      <w:r w:rsidR="00A26A46" w:rsidRPr="0087041F">
        <w:rPr>
          <w:rFonts w:hint="eastAsia"/>
        </w:rPr>
        <w:t xml:space="preserve">3 </w:t>
      </w:r>
      <w:r w:rsidRPr="0087041F">
        <w:rPr>
          <w:rFonts w:hint="eastAsia"/>
        </w:rPr>
        <w:t>赛道2答辩评分标准</w:t>
      </w:r>
    </w:p>
    <w:tbl>
      <w:tblPr>
        <w:tblStyle w:val="a6"/>
        <w:tblW w:w="851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951"/>
        <w:gridCol w:w="5103"/>
        <w:gridCol w:w="754"/>
      </w:tblGrid>
      <w:tr w:rsidR="0066519F" w:rsidRPr="0087041F" w:rsidTr="0087041F">
        <w:trPr>
          <w:trHeight w:val="310"/>
          <w:jc w:val="center"/>
        </w:trPr>
        <w:tc>
          <w:tcPr>
            <w:tcW w:w="70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阶段</w:t>
            </w:r>
          </w:p>
        </w:tc>
        <w:tc>
          <w:tcPr>
            <w:tcW w:w="1951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评分项目</w:t>
            </w:r>
          </w:p>
        </w:tc>
        <w:tc>
          <w:tcPr>
            <w:tcW w:w="5103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内容</w:t>
            </w:r>
          </w:p>
        </w:tc>
        <w:tc>
          <w:tcPr>
            <w:tcW w:w="75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分值</w:t>
            </w:r>
          </w:p>
        </w:tc>
      </w:tr>
      <w:tr w:rsidR="0066519F" w:rsidRPr="0087041F" w:rsidTr="0087041F">
        <w:trPr>
          <w:trHeight w:val="435"/>
          <w:jc w:val="center"/>
        </w:trPr>
        <w:tc>
          <w:tcPr>
            <w:tcW w:w="704" w:type="dxa"/>
            <w:vMerge w:val="restart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陈述</w:t>
            </w:r>
          </w:p>
        </w:tc>
        <w:tc>
          <w:tcPr>
            <w:tcW w:w="1951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智能体应用</w:t>
            </w:r>
          </w:p>
        </w:tc>
        <w:tc>
          <w:tcPr>
            <w:tcW w:w="5103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智能体构建、智能体训练、智能体应用效果</w:t>
            </w:r>
          </w:p>
        </w:tc>
        <w:tc>
          <w:tcPr>
            <w:tcW w:w="75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20</w:t>
            </w:r>
          </w:p>
        </w:tc>
      </w:tr>
      <w:tr w:rsidR="0066519F" w:rsidRPr="0087041F" w:rsidTr="0087041F">
        <w:trPr>
          <w:trHeight w:val="940"/>
          <w:jc w:val="center"/>
        </w:trPr>
        <w:tc>
          <w:tcPr>
            <w:tcW w:w="704" w:type="dxa"/>
            <w:vMerge/>
            <w:vAlign w:val="center"/>
          </w:tcPr>
          <w:p w:rsidR="0066519F" w:rsidRPr="0087041F" w:rsidRDefault="0066519F" w:rsidP="00FB5422">
            <w:pPr>
              <w:pStyle w:val="a3"/>
            </w:pPr>
          </w:p>
        </w:tc>
        <w:tc>
          <w:tcPr>
            <w:tcW w:w="1951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战略穿透力</w:t>
            </w:r>
          </w:p>
        </w:tc>
        <w:tc>
          <w:tcPr>
            <w:tcW w:w="5103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合理性</w:t>
            </w:r>
            <w:r w:rsidRPr="0087041F">
              <w:rPr>
                <w:rFonts w:hint="eastAsia"/>
              </w:rPr>
              <w:t>、决策链逻辑性、数据支撑强度、</w:t>
            </w:r>
            <w:r w:rsidRPr="0087041F">
              <w:t>路径可行性、数智化融合深度</w:t>
            </w:r>
            <w:r w:rsidRPr="0087041F">
              <w:rPr>
                <w:rFonts w:hint="eastAsia"/>
              </w:rPr>
              <w:t>、ESG企业社会责任与可持续发展</w:t>
            </w:r>
          </w:p>
        </w:tc>
        <w:tc>
          <w:tcPr>
            <w:tcW w:w="75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1</w:t>
            </w:r>
            <w:r w:rsidRPr="0087041F">
              <w:t>0</w:t>
            </w:r>
          </w:p>
        </w:tc>
      </w:tr>
      <w:tr w:rsidR="0066519F" w:rsidRPr="0087041F" w:rsidTr="0087041F">
        <w:trPr>
          <w:trHeight w:val="144"/>
          <w:jc w:val="center"/>
        </w:trPr>
        <w:tc>
          <w:tcPr>
            <w:tcW w:w="704" w:type="dxa"/>
            <w:vMerge/>
            <w:vAlign w:val="center"/>
          </w:tcPr>
          <w:p w:rsidR="0066519F" w:rsidRPr="0087041F" w:rsidRDefault="0066519F" w:rsidP="00FB5422">
            <w:pPr>
              <w:pStyle w:val="a3"/>
            </w:pPr>
          </w:p>
        </w:tc>
        <w:tc>
          <w:tcPr>
            <w:tcW w:w="1951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应变能力</w:t>
            </w:r>
          </w:p>
        </w:tc>
        <w:tc>
          <w:tcPr>
            <w:tcW w:w="5103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执行过程中出现与预期方案不一致性的</w:t>
            </w:r>
            <w:r w:rsidRPr="0087041F">
              <w:t>应急响应速度、资源调配效率、风险控制能力</w:t>
            </w:r>
            <w:r w:rsidRPr="0087041F">
              <w:rPr>
                <w:rFonts w:hint="eastAsia"/>
              </w:rPr>
              <w:t>、</w:t>
            </w:r>
            <w:r w:rsidRPr="0087041F">
              <w:t>危机韧性</w:t>
            </w:r>
          </w:p>
        </w:tc>
        <w:tc>
          <w:tcPr>
            <w:tcW w:w="75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1</w:t>
            </w:r>
            <w:r w:rsidRPr="0087041F">
              <w:t>0</w:t>
            </w:r>
          </w:p>
        </w:tc>
      </w:tr>
      <w:tr w:rsidR="0066519F" w:rsidRPr="0087041F" w:rsidTr="0087041F">
        <w:trPr>
          <w:trHeight w:val="144"/>
          <w:jc w:val="center"/>
        </w:trPr>
        <w:tc>
          <w:tcPr>
            <w:tcW w:w="704" w:type="dxa"/>
            <w:vMerge/>
            <w:vAlign w:val="center"/>
          </w:tcPr>
          <w:p w:rsidR="0066519F" w:rsidRPr="0087041F" w:rsidRDefault="0066519F" w:rsidP="00FB5422">
            <w:pPr>
              <w:pStyle w:val="a3"/>
            </w:pPr>
          </w:p>
        </w:tc>
        <w:tc>
          <w:tcPr>
            <w:tcW w:w="1951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报告呈现质量</w:t>
            </w:r>
          </w:p>
        </w:tc>
        <w:tc>
          <w:tcPr>
            <w:tcW w:w="5103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结构严谨性</w:t>
            </w:r>
            <w:r w:rsidRPr="0087041F">
              <w:rPr>
                <w:rFonts w:hint="eastAsia"/>
              </w:rPr>
              <w:t>、理论知识深刻理解并灵活应用的能力、数据可视化程度、学术规范性</w:t>
            </w:r>
          </w:p>
        </w:tc>
        <w:tc>
          <w:tcPr>
            <w:tcW w:w="75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10</w:t>
            </w:r>
          </w:p>
        </w:tc>
      </w:tr>
      <w:tr w:rsidR="0066519F" w:rsidRPr="0087041F" w:rsidTr="0087041F">
        <w:trPr>
          <w:trHeight w:val="144"/>
          <w:jc w:val="center"/>
        </w:trPr>
        <w:tc>
          <w:tcPr>
            <w:tcW w:w="704" w:type="dxa"/>
            <w:vMerge/>
            <w:vAlign w:val="center"/>
          </w:tcPr>
          <w:p w:rsidR="0066519F" w:rsidRPr="0087041F" w:rsidRDefault="0066519F" w:rsidP="00FB5422">
            <w:pPr>
              <w:pStyle w:val="a3"/>
            </w:pPr>
          </w:p>
        </w:tc>
        <w:tc>
          <w:tcPr>
            <w:tcW w:w="1951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竞赛中动态决策能力</w:t>
            </w:r>
          </w:p>
        </w:tc>
        <w:tc>
          <w:tcPr>
            <w:tcW w:w="5103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贯彻执行策略、竞争对手分析、风险识别及风险控制、应对市场变化、调整策略</w:t>
            </w:r>
          </w:p>
        </w:tc>
        <w:tc>
          <w:tcPr>
            <w:tcW w:w="75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10</w:t>
            </w:r>
          </w:p>
        </w:tc>
      </w:tr>
      <w:tr w:rsidR="0066519F" w:rsidRPr="0087041F" w:rsidTr="0087041F">
        <w:trPr>
          <w:trHeight w:val="578"/>
          <w:jc w:val="center"/>
        </w:trPr>
        <w:tc>
          <w:tcPr>
            <w:tcW w:w="704" w:type="dxa"/>
            <w:vMerge w:val="restart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问答环节</w:t>
            </w:r>
          </w:p>
        </w:tc>
        <w:tc>
          <w:tcPr>
            <w:tcW w:w="1951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临场反应</w:t>
            </w:r>
          </w:p>
        </w:tc>
        <w:tc>
          <w:tcPr>
            <w:tcW w:w="5103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回答迅速、抓住要点、语言简洁</w:t>
            </w:r>
          </w:p>
        </w:tc>
        <w:tc>
          <w:tcPr>
            <w:tcW w:w="75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15</w:t>
            </w:r>
          </w:p>
        </w:tc>
      </w:tr>
      <w:tr w:rsidR="0066519F" w:rsidRPr="0087041F" w:rsidTr="0087041F">
        <w:trPr>
          <w:trHeight w:val="144"/>
          <w:jc w:val="center"/>
        </w:trPr>
        <w:tc>
          <w:tcPr>
            <w:tcW w:w="704" w:type="dxa"/>
            <w:vMerge/>
            <w:vAlign w:val="center"/>
          </w:tcPr>
          <w:p w:rsidR="0066519F" w:rsidRPr="0087041F" w:rsidRDefault="0066519F" w:rsidP="00FB5422">
            <w:pPr>
              <w:pStyle w:val="a3"/>
            </w:pPr>
          </w:p>
        </w:tc>
        <w:tc>
          <w:tcPr>
            <w:tcW w:w="1951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专业知识</w:t>
            </w:r>
          </w:p>
        </w:tc>
        <w:tc>
          <w:tcPr>
            <w:tcW w:w="5103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专业知识面广、深刻理解提问并灵活应用专业知识回答</w:t>
            </w:r>
          </w:p>
        </w:tc>
        <w:tc>
          <w:tcPr>
            <w:tcW w:w="75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15</w:t>
            </w:r>
          </w:p>
        </w:tc>
      </w:tr>
      <w:tr w:rsidR="0066519F" w:rsidRPr="0087041F" w:rsidTr="0087041F">
        <w:trPr>
          <w:jc w:val="center"/>
        </w:trPr>
        <w:tc>
          <w:tcPr>
            <w:tcW w:w="704" w:type="dxa"/>
            <w:vMerge/>
            <w:vAlign w:val="center"/>
          </w:tcPr>
          <w:p w:rsidR="0066519F" w:rsidRPr="0087041F" w:rsidRDefault="0066519F" w:rsidP="00FB5422">
            <w:pPr>
              <w:pStyle w:val="a3"/>
            </w:pPr>
          </w:p>
        </w:tc>
        <w:tc>
          <w:tcPr>
            <w:tcW w:w="1951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整体印象</w:t>
            </w:r>
          </w:p>
        </w:tc>
        <w:tc>
          <w:tcPr>
            <w:tcW w:w="5103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答辩整体逻辑性、回答问题的清晰程度、问题回答创新性和正确性、团队成员协作补充</w:t>
            </w:r>
          </w:p>
        </w:tc>
        <w:tc>
          <w:tcPr>
            <w:tcW w:w="75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t>10</w:t>
            </w:r>
          </w:p>
        </w:tc>
      </w:tr>
      <w:tr w:rsidR="0066519F" w:rsidRPr="0087041F" w:rsidTr="0027127E">
        <w:trPr>
          <w:trHeight w:val="369"/>
          <w:jc w:val="center"/>
        </w:trPr>
        <w:tc>
          <w:tcPr>
            <w:tcW w:w="7758" w:type="dxa"/>
            <w:gridSpan w:val="3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合计</w:t>
            </w:r>
          </w:p>
        </w:tc>
        <w:tc>
          <w:tcPr>
            <w:tcW w:w="754" w:type="dxa"/>
            <w:vAlign w:val="center"/>
          </w:tcPr>
          <w:p w:rsidR="0066519F" w:rsidRPr="0087041F" w:rsidRDefault="0066519F" w:rsidP="00FB5422">
            <w:pPr>
              <w:pStyle w:val="a3"/>
            </w:pPr>
            <w:r w:rsidRPr="0087041F">
              <w:rPr>
                <w:rFonts w:hint="eastAsia"/>
              </w:rPr>
              <w:t>100</w:t>
            </w:r>
          </w:p>
        </w:tc>
      </w:tr>
    </w:tbl>
    <w:p w:rsidR="0066519F" w:rsidRPr="0066519F" w:rsidRDefault="0066519F" w:rsidP="0066519F">
      <w:pPr>
        <w:autoSpaceDE w:val="0"/>
        <w:ind w:firstLineChars="200" w:firstLine="480"/>
        <w:rPr>
          <w:rFonts w:ascii="仿宋_GB2312" w:eastAsia="仿宋_GB2312" w:hAnsi="Times New Roman" w:cs="宋体"/>
          <w:bCs/>
          <w:kern w:val="0"/>
          <w:sz w:val="24"/>
          <w:szCs w:val="24"/>
        </w:rPr>
      </w:pPr>
    </w:p>
    <w:p w:rsidR="009517C3" w:rsidRPr="000A313E" w:rsidRDefault="009517C3" w:rsidP="009517C3">
      <w:pPr>
        <w:autoSpaceDE w:val="0"/>
        <w:spacing w:line="560" w:lineRule="exact"/>
        <w:ind w:firstLineChars="200" w:firstLine="640"/>
        <w:rPr>
          <w:rFonts w:ascii="仿宋_GB2312" w:eastAsia="仿宋_GB2312" w:hAnsi="Times New Roman" w:cs="宋体"/>
          <w:bCs/>
          <w:kern w:val="0"/>
          <w:sz w:val="32"/>
          <w:szCs w:val="32"/>
        </w:rPr>
      </w:pPr>
      <w:bookmarkStart w:id="3" w:name="OLE_LINK3"/>
      <w:bookmarkStart w:id="4" w:name="OLE_LINK4"/>
      <w:r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（三）奖项不平衡时分配规则</w:t>
      </w:r>
    </w:p>
    <w:p w:rsidR="004656BC" w:rsidRPr="000A313E" w:rsidRDefault="009517C3" w:rsidP="000B6F19">
      <w:pPr>
        <w:autoSpaceDE w:val="0"/>
        <w:spacing w:line="560" w:lineRule="exact"/>
        <w:ind w:firstLineChars="200" w:firstLine="640"/>
        <w:rPr>
          <w:rFonts w:ascii="仿宋_GB2312" w:eastAsia="仿宋_GB2312" w:hAnsi="Times New Roman" w:cs="宋体"/>
          <w:bCs/>
          <w:kern w:val="0"/>
          <w:sz w:val="32"/>
          <w:szCs w:val="32"/>
        </w:rPr>
      </w:pPr>
      <w:r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由于组数原因，如果各赛区完全按照</w:t>
      </w:r>
      <w:r w:rsidR="000B6F19"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省厅规定</w:t>
      </w:r>
      <w:r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比例设置奖项，可能造成奖项名额浪费。为避免奖项名额浪费，奖项分配采用如下规则：设赛区数为N，总体一/二/三等奖名额为M1/M2/M3，</w:t>
      </w:r>
      <w:proofErr w:type="spellStart"/>
      <w:r w:rsidRPr="000A313E">
        <w:rPr>
          <w:rFonts w:ascii="仿宋_GB2312" w:eastAsia="仿宋_GB2312" w:hAnsi="Times New Roman" w:cs="宋体"/>
          <w:bCs/>
          <w:kern w:val="0"/>
          <w:sz w:val="32"/>
          <w:szCs w:val="32"/>
        </w:rPr>
        <w:t>i</w:t>
      </w:r>
      <w:proofErr w:type="spellEnd"/>
      <w:r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=M1//N(//整除）,n=M1%</w:t>
      </w:r>
      <w:r w:rsidRPr="000A313E">
        <w:rPr>
          <w:rFonts w:ascii="仿宋_GB2312" w:eastAsia="仿宋_GB2312" w:hAnsi="Times New Roman" w:cs="宋体"/>
          <w:bCs/>
          <w:kern w:val="0"/>
          <w:sz w:val="32"/>
          <w:szCs w:val="32"/>
        </w:rPr>
        <w:t xml:space="preserve"> </w:t>
      </w:r>
      <w:bookmarkStart w:id="5" w:name="_GoBack"/>
      <w:bookmarkEnd w:id="5"/>
      <w:r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N（%取余）。则各赛区的第1~i名为一等奖，第（i+1)名按</w:t>
      </w:r>
      <w:r w:rsidR="000B6F19"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对抗赛系统得分Z</w:t>
      </w:r>
      <w:r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降序排序，前n支参赛队为一等奖，剩下（N-n)支参赛队为二等奖，剩余二等奖名额</w:t>
      </w:r>
      <w:r w:rsidR="004656BC"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减</w:t>
      </w:r>
      <w:r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为M2-(N-n)</w:t>
      </w:r>
      <w:r w:rsidR="000B6F19"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，在</w:t>
      </w:r>
      <w:r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各赛区的第i+2名之后分</w:t>
      </w:r>
      <w:r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lastRenderedPageBreak/>
        <w:t>配，方法同上。</w:t>
      </w:r>
    </w:p>
    <w:p w:rsidR="000B6F19" w:rsidRPr="000A313E" w:rsidRDefault="000B6F19" w:rsidP="000B6F19">
      <w:pPr>
        <w:autoSpaceDE w:val="0"/>
        <w:spacing w:line="56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  <w:r w:rsidRPr="000A313E">
        <w:rPr>
          <w:rFonts w:ascii="仿宋_GB2312" w:eastAsia="仿宋_GB2312" w:hAnsi="Times New Roman" w:hint="eastAsia"/>
          <w:kern w:val="0"/>
          <w:sz w:val="32"/>
          <w:szCs w:val="32"/>
        </w:rPr>
        <w:t>例如，7个赛区按规定有11个一等奖、20个二等奖、36个三等奖。一等奖分配：</w:t>
      </w:r>
      <w:proofErr w:type="spellStart"/>
      <w:r w:rsidRPr="000A313E">
        <w:rPr>
          <w:rFonts w:ascii="仿宋_GB2312" w:eastAsia="仿宋_GB2312" w:hAnsi="Times New Roman"/>
          <w:kern w:val="0"/>
          <w:sz w:val="32"/>
          <w:szCs w:val="32"/>
        </w:rPr>
        <w:t>i</w:t>
      </w:r>
      <w:proofErr w:type="spellEnd"/>
      <w:r w:rsidRPr="000A313E">
        <w:rPr>
          <w:rFonts w:ascii="仿宋_GB2312" w:eastAsia="仿宋_GB2312" w:hAnsi="Times New Roman" w:hint="eastAsia"/>
          <w:kern w:val="0"/>
          <w:sz w:val="32"/>
          <w:szCs w:val="32"/>
        </w:rPr>
        <w:t>=11//7=1,n=11%7=4,则每个赛区的第1名为一等奖，第2名按</w:t>
      </w:r>
      <w:r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对抗赛系统得分Z</w:t>
      </w:r>
      <w:r w:rsidRPr="000A313E">
        <w:rPr>
          <w:rFonts w:ascii="仿宋_GB2312" w:eastAsia="仿宋_GB2312" w:hAnsi="Times New Roman" w:hint="eastAsia"/>
          <w:kern w:val="0"/>
          <w:sz w:val="32"/>
          <w:szCs w:val="32"/>
        </w:rPr>
        <w:t>进行降序排名，排名前4位的参赛队获得一等奖，剩下3支参赛队获得二等奖，剩余二等奖名额为17个。二等奖分配：</w:t>
      </w:r>
      <w:proofErr w:type="spellStart"/>
      <w:r w:rsidRPr="000A313E">
        <w:rPr>
          <w:rFonts w:ascii="仿宋_GB2312" w:eastAsia="仿宋_GB2312" w:hAnsi="Times New Roman"/>
          <w:kern w:val="0"/>
          <w:sz w:val="32"/>
          <w:szCs w:val="32"/>
        </w:rPr>
        <w:t>i</w:t>
      </w:r>
      <w:proofErr w:type="spellEnd"/>
      <w:r w:rsidRPr="000A313E">
        <w:rPr>
          <w:rFonts w:ascii="仿宋_GB2312" w:eastAsia="仿宋_GB2312" w:hAnsi="Times New Roman"/>
          <w:kern w:val="0"/>
          <w:sz w:val="32"/>
          <w:szCs w:val="32"/>
        </w:rPr>
        <w:t xml:space="preserve">=17//7=2, </w:t>
      </w:r>
      <w:r w:rsidRPr="000A313E">
        <w:rPr>
          <w:rFonts w:ascii="仿宋_GB2312" w:eastAsia="仿宋_GB2312" w:hAnsi="Times New Roman" w:hint="eastAsia"/>
          <w:kern w:val="0"/>
          <w:sz w:val="32"/>
          <w:szCs w:val="32"/>
        </w:rPr>
        <w:t>n=17%7=3,各赛区第3-4名为二等奖，第5名</w:t>
      </w:r>
      <w:r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对抗赛系统得分Z</w:t>
      </w:r>
      <w:r w:rsidRPr="000A313E">
        <w:rPr>
          <w:rFonts w:ascii="仿宋_GB2312" w:eastAsia="仿宋_GB2312" w:hAnsi="Times New Roman" w:hint="eastAsia"/>
          <w:kern w:val="0"/>
          <w:sz w:val="32"/>
          <w:szCs w:val="32"/>
        </w:rPr>
        <w:t>排名前3的参赛队为二等奖，剩下4支参赛队获三等奖，剩余三等奖名额减为32个。三等奖分配：</w:t>
      </w:r>
      <w:proofErr w:type="spellStart"/>
      <w:r w:rsidRPr="000A313E">
        <w:rPr>
          <w:rFonts w:ascii="仿宋_GB2312" w:eastAsia="仿宋_GB2312" w:hAnsi="Times New Roman"/>
          <w:kern w:val="0"/>
          <w:sz w:val="32"/>
          <w:szCs w:val="32"/>
        </w:rPr>
        <w:t>i</w:t>
      </w:r>
      <w:proofErr w:type="spellEnd"/>
      <w:r w:rsidRPr="000A313E">
        <w:rPr>
          <w:rFonts w:ascii="仿宋_GB2312" w:eastAsia="仿宋_GB2312" w:hAnsi="Times New Roman" w:hint="eastAsia"/>
          <w:kern w:val="0"/>
          <w:sz w:val="32"/>
          <w:szCs w:val="32"/>
        </w:rPr>
        <w:t>=32//7=4,n=32%7=4，各赛区第6-9名为三等奖，各赛区第10名</w:t>
      </w:r>
      <w:r w:rsidRPr="000A313E"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  <w:t>对抗赛系统得分Z</w:t>
      </w:r>
      <w:r w:rsidRPr="000A313E">
        <w:rPr>
          <w:rFonts w:ascii="仿宋_GB2312" w:eastAsia="仿宋_GB2312" w:hAnsi="Times New Roman" w:hint="eastAsia"/>
          <w:kern w:val="0"/>
          <w:sz w:val="32"/>
          <w:szCs w:val="32"/>
        </w:rPr>
        <w:t>排名前4的参赛队获三等奖。</w:t>
      </w:r>
    </w:p>
    <w:bookmarkEnd w:id="1"/>
    <w:bookmarkEnd w:id="2"/>
    <w:bookmarkEnd w:id="3"/>
    <w:bookmarkEnd w:id="4"/>
    <w:p w:rsidR="00807360" w:rsidRPr="000B6F19" w:rsidRDefault="00807360">
      <w:pPr>
        <w:rPr>
          <w:rFonts w:ascii="仿宋_GB2312" w:eastAsia="仿宋_GB2312" w:hAnsi="Times New Roman" w:cs="宋体"/>
          <w:bCs/>
          <w:kern w:val="0"/>
          <w:sz w:val="32"/>
          <w:szCs w:val="32"/>
        </w:rPr>
      </w:pPr>
    </w:p>
    <w:sectPr w:rsidR="00807360" w:rsidRPr="000B6F19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86F" w:rsidRDefault="00E0786F">
      <w:r>
        <w:separator/>
      </w:r>
    </w:p>
  </w:endnote>
  <w:endnote w:type="continuationSeparator" w:id="0">
    <w:p w:rsidR="00E0786F" w:rsidRDefault="00E0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00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D28" w:rsidRDefault="0066519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83AA4B" wp14:editId="5528A59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A6D28" w:rsidRDefault="0066519F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A313E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83AA4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BA6D28" w:rsidRDefault="0066519F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0A313E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86F" w:rsidRDefault="00E0786F">
      <w:r>
        <w:separator/>
      </w:r>
    </w:p>
  </w:footnote>
  <w:footnote w:type="continuationSeparator" w:id="0">
    <w:p w:rsidR="00E0786F" w:rsidRDefault="00E078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19F"/>
    <w:rsid w:val="00055A44"/>
    <w:rsid w:val="000A313E"/>
    <w:rsid w:val="000B6F19"/>
    <w:rsid w:val="00167D63"/>
    <w:rsid w:val="00187E03"/>
    <w:rsid w:val="001E438B"/>
    <w:rsid w:val="002F39EC"/>
    <w:rsid w:val="00306DF4"/>
    <w:rsid w:val="00355258"/>
    <w:rsid w:val="003C3356"/>
    <w:rsid w:val="00411BD1"/>
    <w:rsid w:val="004630C5"/>
    <w:rsid w:val="004656BC"/>
    <w:rsid w:val="004E6326"/>
    <w:rsid w:val="00551115"/>
    <w:rsid w:val="0058658E"/>
    <w:rsid w:val="005D0958"/>
    <w:rsid w:val="005D0D14"/>
    <w:rsid w:val="005D7079"/>
    <w:rsid w:val="00644AC5"/>
    <w:rsid w:val="0066519F"/>
    <w:rsid w:val="0067374A"/>
    <w:rsid w:val="00723DB6"/>
    <w:rsid w:val="00807360"/>
    <w:rsid w:val="0087041F"/>
    <w:rsid w:val="00920766"/>
    <w:rsid w:val="009517C3"/>
    <w:rsid w:val="00952114"/>
    <w:rsid w:val="009C31C3"/>
    <w:rsid w:val="00A06BB8"/>
    <w:rsid w:val="00A14A85"/>
    <w:rsid w:val="00A26A46"/>
    <w:rsid w:val="00C166A5"/>
    <w:rsid w:val="00C54569"/>
    <w:rsid w:val="00CC576B"/>
    <w:rsid w:val="00D255EE"/>
    <w:rsid w:val="00D3481E"/>
    <w:rsid w:val="00D82CCE"/>
    <w:rsid w:val="00DA19D7"/>
    <w:rsid w:val="00DA334E"/>
    <w:rsid w:val="00E0786F"/>
    <w:rsid w:val="00E2279B"/>
    <w:rsid w:val="00EA45A6"/>
    <w:rsid w:val="00F12844"/>
    <w:rsid w:val="00F91809"/>
    <w:rsid w:val="00FB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F73CA4-D537-4583-B50F-43C748CC6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66519F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66519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66519F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caption"/>
    <w:basedOn w:val="a"/>
    <w:next w:val="a"/>
    <w:autoRedefine/>
    <w:uiPriority w:val="35"/>
    <w:unhideWhenUsed/>
    <w:qFormat/>
    <w:rsid w:val="00FB5422"/>
    <w:pPr>
      <w:keepNext/>
      <w:jc w:val="center"/>
    </w:pPr>
    <w:rPr>
      <w:rFonts w:ascii="仿宋_GB2312" w:eastAsia="仿宋_GB2312" w:hAnsi="Times New Roman" w:cs="宋体"/>
      <w:bCs/>
      <w:kern w:val="0"/>
      <w:szCs w:val="21"/>
    </w:rPr>
  </w:style>
  <w:style w:type="paragraph" w:styleId="a4">
    <w:name w:val="footer"/>
    <w:basedOn w:val="a"/>
    <w:link w:val="a5"/>
    <w:autoRedefine/>
    <w:uiPriority w:val="99"/>
    <w:qFormat/>
    <w:rsid w:val="0066519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a5">
    <w:name w:val="页脚 字符"/>
    <w:basedOn w:val="a0"/>
    <w:link w:val="a4"/>
    <w:uiPriority w:val="99"/>
    <w:rsid w:val="0066519F"/>
    <w:rPr>
      <w:kern w:val="0"/>
      <w:sz w:val="18"/>
      <w:szCs w:val="20"/>
    </w:rPr>
  </w:style>
  <w:style w:type="table" w:styleId="a6">
    <w:name w:val="Table Grid"/>
    <w:basedOn w:val="a1"/>
    <w:autoRedefine/>
    <w:qFormat/>
    <w:rsid w:val="0066519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11B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411BD1"/>
    <w:rPr>
      <w:sz w:val="18"/>
      <w:szCs w:val="18"/>
    </w:rPr>
  </w:style>
  <w:style w:type="character" w:styleId="a9">
    <w:name w:val="Placeholder Text"/>
    <w:basedOn w:val="a0"/>
    <w:uiPriority w:val="99"/>
    <w:semiHidden/>
    <w:rsid w:val="00306DF4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F12844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128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徐加玮</cp:lastModifiedBy>
  <cp:revision>8</cp:revision>
  <dcterms:created xsi:type="dcterms:W3CDTF">2025-07-03T03:26:00Z</dcterms:created>
  <dcterms:modified xsi:type="dcterms:W3CDTF">2025-07-22T00:48:00Z</dcterms:modified>
</cp:coreProperties>
</file>